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73" w:rsidRDefault="009E4E73" w:rsidP="009E4E7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  </w:t>
      </w:r>
    </w:p>
    <w:p w:rsidR="009E4E73" w:rsidRDefault="009E4E73" w:rsidP="009E4E73">
      <w:pPr>
        <w:pStyle w:val="linhanumerada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Calibri" w:hAnsi="Calibri"/>
          <w:color w:val="000000"/>
        </w:rPr>
        <w:t>              À Diretora Superintendente Executiva</w:t>
      </w:r>
    </w:p>
    <w:p w:rsidR="009E4E73" w:rsidRDefault="009E4E73" w:rsidP="009E4E73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E4E73" w:rsidRDefault="009E4E73" w:rsidP="009E4E73">
      <w:pPr>
        <w:pStyle w:val="linhanumerada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rFonts w:ascii="Calibri" w:hAnsi="Calibri"/>
          <w:color w:val="000000"/>
        </w:rPr>
        <w:t>Recebemos o presente processo para análise e manifestação quanto aos elementos constantes nos autos, com o objetivo de subsidiar a decisão da autoridade competente, em conformidade com os ditames da Lei nº 14.133/2021 e demais dispositivos legais pertinentes ao caso.</w:t>
      </w:r>
    </w:p>
    <w:p w:rsidR="009E4E73" w:rsidRDefault="009E4E73" w:rsidP="009E4E73">
      <w:pPr>
        <w:pStyle w:val="NormalWeb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E4E73" w:rsidRDefault="009E4E73" w:rsidP="009E4E73">
      <w:pPr>
        <w:pStyle w:val="linhanumerada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rFonts w:ascii="Calibri" w:hAnsi="Calibri"/>
          <w:color w:val="000000"/>
        </w:rPr>
        <w:t>Verifica-se da manifestação do Pregoeiro que há um equívoco quanto à utilização da tabela de honorários da OAB como preço referencial utilizado na contratação pretendida. Isso porque, de acordo com tal entendimento, estar-se-ia utilizando o Código de Ética – estabelecido mediante </w:t>
      </w:r>
      <w:r>
        <w:rPr>
          <w:rFonts w:ascii="Calibri" w:hAnsi="Calibri"/>
          <w:color w:val="000000"/>
          <w:u w:val="single"/>
        </w:rPr>
        <w:t>Resolução</w:t>
      </w:r>
      <w:r>
        <w:rPr>
          <w:rFonts w:ascii="Calibri" w:hAnsi="Calibri"/>
          <w:color w:val="000000"/>
        </w:rPr>
        <w:t> pela OAB de cada Seccional – em detrimento da </w:t>
      </w:r>
      <w:r>
        <w:rPr>
          <w:rFonts w:ascii="Calibri" w:hAnsi="Calibri"/>
          <w:color w:val="000000"/>
          <w:u w:val="single"/>
        </w:rPr>
        <w:t>Lei Federal</w:t>
      </w:r>
      <w:r>
        <w:rPr>
          <w:rFonts w:ascii="Calibri" w:hAnsi="Calibri"/>
          <w:color w:val="000000"/>
        </w:rPr>
        <w:t> nº 14.133/2021.</w:t>
      </w:r>
    </w:p>
    <w:p w:rsidR="009E4E73" w:rsidRDefault="009E4E73" w:rsidP="009E4E73">
      <w:pPr>
        <w:pStyle w:val="NormalWeb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E4E73" w:rsidRDefault="009E4E73" w:rsidP="009E4E73">
      <w:pPr>
        <w:pStyle w:val="linhanumerada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rFonts w:ascii="Calibri" w:hAnsi="Calibri"/>
          <w:color w:val="000000"/>
        </w:rPr>
        <w:t>Isso porque, seguindo a legislação pátria e as melhores práticas de licitação, o valor da contratação orçado no Estudo Técnico Preliminar fora realizado com base na pesquisa de mercados fundamentada no artigo 23 da Lei nº 14.133/2021, regulamentado pela Instrução Normativa SEGES/ME nº 65/2021, ainda que respeitando o Art. 49, do Código de Ética e Disciplina da OAB, o qual transcrevemos abaixo:</w:t>
      </w:r>
    </w:p>
    <w:p w:rsidR="009E4E73" w:rsidRDefault="009E4E73" w:rsidP="009E4E73">
      <w:pPr>
        <w:pStyle w:val="NormalWeb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E4E73" w:rsidRDefault="009E4E73" w:rsidP="009E4E73">
      <w:pPr>
        <w:pStyle w:val="linhanumerada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rFonts w:ascii="Calibri" w:hAnsi="Calibri"/>
          <w:color w:val="000000"/>
        </w:rPr>
        <w:t>“Art. 23.</w:t>
      </w:r>
      <w:r>
        <w:rPr>
          <w:rFonts w:ascii="Calibri" w:hAnsi="Calibri"/>
          <w:b/>
          <w:bCs/>
          <w:color w:val="000000"/>
        </w:rPr>
        <w:t> </w:t>
      </w:r>
      <w:r>
        <w:rPr>
          <w:rFonts w:ascii="Calibri" w:hAnsi="Calibri"/>
          <w:color w:val="000000"/>
        </w:rPr>
        <w:t>O valor previamente estimado da contratação </w:t>
      </w:r>
      <w:r>
        <w:rPr>
          <w:rFonts w:ascii="Calibri" w:hAnsi="Calibri"/>
          <w:b/>
          <w:bCs/>
          <w:color w:val="000000"/>
        </w:rPr>
        <w:t>deverá ser compatível com os valores praticados pelo mercado</w:t>
      </w:r>
      <w:r>
        <w:rPr>
          <w:rFonts w:ascii="Calibri" w:hAnsi="Calibri"/>
          <w:color w:val="000000"/>
        </w:rPr>
        <w:t>, considerados os </w:t>
      </w:r>
      <w:r>
        <w:rPr>
          <w:rFonts w:ascii="Calibri" w:hAnsi="Calibri"/>
          <w:b/>
          <w:bCs/>
          <w:color w:val="000000"/>
        </w:rPr>
        <w:t>preços constantes de bancos de dados públicos</w:t>
      </w:r>
      <w:r>
        <w:rPr>
          <w:rFonts w:ascii="Calibri" w:hAnsi="Calibri"/>
          <w:color w:val="000000"/>
        </w:rPr>
        <w:t> e as quantidades a serem contratadas, observadas a potencial economia de escala e as peculiaridades do local de execução do objeto.</w:t>
      </w:r>
    </w:p>
    <w:p w:rsidR="009E4E73" w:rsidRDefault="009E4E73" w:rsidP="009E4E73">
      <w:pPr>
        <w:pStyle w:val="linhanumerada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bookmarkStart w:id="0" w:name="art23§1"/>
      <w:bookmarkEnd w:id="0"/>
      <w:r>
        <w:rPr>
          <w:rFonts w:ascii="Calibri" w:hAnsi="Calibri"/>
          <w:color w:val="000000"/>
        </w:rPr>
        <w:t>§ 1º No processo licitatório para aquisição de bens e contratação de serviços em geral, conforme regulamento, </w:t>
      </w:r>
      <w:r>
        <w:rPr>
          <w:rFonts w:ascii="Calibri" w:hAnsi="Calibri"/>
          <w:b/>
          <w:bCs/>
          <w:color w:val="000000"/>
        </w:rPr>
        <w:t>o valor estimado será definido com base no melhor preço aferido por meio da utilização dos seguintes parâmetros, adotados de forma combinada ou não</w:t>
      </w:r>
      <w:r>
        <w:rPr>
          <w:rFonts w:ascii="Calibri" w:hAnsi="Calibri"/>
          <w:color w:val="000000"/>
        </w:rPr>
        <w:t>:</w:t>
      </w:r>
    </w:p>
    <w:p w:rsidR="009E4E73" w:rsidRDefault="009E4E73" w:rsidP="009E4E73">
      <w:pPr>
        <w:pStyle w:val="linhanumerada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bookmarkStart w:id="1" w:name="art23§1i"/>
      <w:bookmarkEnd w:id="1"/>
      <w:r>
        <w:rPr>
          <w:rFonts w:ascii="Calibri" w:hAnsi="Calibri"/>
          <w:color w:val="000000"/>
        </w:rPr>
        <w:t xml:space="preserve">I - </w:t>
      </w:r>
      <w:proofErr w:type="gramStart"/>
      <w:r>
        <w:rPr>
          <w:rFonts w:ascii="Calibri" w:hAnsi="Calibri"/>
          <w:color w:val="000000"/>
        </w:rPr>
        <w:t>composição</w:t>
      </w:r>
      <w:proofErr w:type="gramEnd"/>
      <w:r>
        <w:rPr>
          <w:rFonts w:ascii="Calibri" w:hAnsi="Calibri"/>
          <w:color w:val="000000"/>
        </w:rPr>
        <w:t xml:space="preserve"> de custos unitários menores ou iguais à mediana do item correspondente no painel para consulta de preços ou no banco de preços em saúde disponíveis no Portal Nacional de Contratações Públicas (PNCP);</w:t>
      </w:r>
    </w:p>
    <w:p w:rsidR="009E4E73" w:rsidRDefault="009E4E73" w:rsidP="009E4E73">
      <w:pPr>
        <w:pStyle w:val="linhanumerada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bookmarkStart w:id="2" w:name="art23§1ii"/>
      <w:bookmarkEnd w:id="2"/>
      <w:r>
        <w:rPr>
          <w:rFonts w:ascii="Calibri" w:hAnsi="Calibri"/>
          <w:color w:val="000000"/>
        </w:rPr>
        <w:t xml:space="preserve">II - </w:t>
      </w:r>
      <w:proofErr w:type="gramStart"/>
      <w:r>
        <w:rPr>
          <w:rFonts w:ascii="Calibri" w:hAnsi="Calibri"/>
          <w:color w:val="000000"/>
        </w:rPr>
        <w:t>contratações</w:t>
      </w:r>
      <w:proofErr w:type="gramEnd"/>
      <w:r>
        <w:rPr>
          <w:rFonts w:ascii="Calibri" w:hAnsi="Calibri"/>
          <w:color w:val="000000"/>
        </w:rPr>
        <w:t xml:space="preserve"> similares feitas pela Administração Pública, em execução ou concluídas no período de 1 (um) ano anterior à data da pesquisa de preços, inclusive mediante sistema de registro de preços, observado o índice de atualização de preços correspondente;</w:t>
      </w:r>
    </w:p>
    <w:p w:rsidR="009E4E73" w:rsidRDefault="009E4E73" w:rsidP="009E4E73">
      <w:pPr>
        <w:pStyle w:val="linhanumerada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bookmarkStart w:id="3" w:name="art23§1iii"/>
      <w:bookmarkEnd w:id="3"/>
      <w:r>
        <w:rPr>
          <w:rFonts w:ascii="Calibri" w:hAnsi="Calibri"/>
          <w:color w:val="000000"/>
        </w:rPr>
        <w:t>III - utilização de dados de pesquisa publicada em mídia especializada, de tabela de referência formalmente aprovada pelo Poder Executivo federal e de sítios eletrônicos especializados ou de domínio amplo, desde que contenham a data e hora de acesso;</w:t>
      </w:r>
    </w:p>
    <w:p w:rsidR="009E4E73" w:rsidRDefault="009E4E73" w:rsidP="009E4E73">
      <w:pPr>
        <w:pStyle w:val="linhanumerada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bookmarkStart w:id="4" w:name="art23§1iv"/>
      <w:bookmarkEnd w:id="4"/>
      <w:r>
        <w:rPr>
          <w:rFonts w:ascii="Calibri" w:hAnsi="Calibri"/>
          <w:color w:val="000000"/>
        </w:rPr>
        <w:t xml:space="preserve">IV - </w:t>
      </w:r>
      <w:proofErr w:type="gramStart"/>
      <w:r>
        <w:rPr>
          <w:rFonts w:ascii="Calibri" w:hAnsi="Calibri"/>
          <w:color w:val="000000"/>
        </w:rPr>
        <w:t>pesquisa</w:t>
      </w:r>
      <w:proofErr w:type="gramEnd"/>
      <w:r>
        <w:rPr>
          <w:rFonts w:ascii="Calibri" w:hAnsi="Calibri"/>
          <w:color w:val="000000"/>
        </w:rPr>
        <w:t xml:space="preserve"> direta com no mínimo 3 (três) fornecedores, mediante solicitação formal de cotação, desde que seja apresentada justificativa da escolha desses </w:t>
      </w:r>
      <w:r>
        <w:rPr>
          <w:rFonts w:ascii="Calibri" w:hAnsi="Calibri"/>
          <w:color w:val="000000"/>
        </w:rPr>
        <w:lastRenderedPageBreak/>
        <w:t>fornecedores e que não tenham sido obtidos os orçamentos com mais de 6 (seis) meses de antecedência da data de divulgação do edital;</w:t>
      </w:r>
    </w:p>
    <w:p w:rsidR="009E4E73" w:rsidRDefault="009E4E73" w:rsidP="009E4E73">
      <w:pPr>
        <w:pStyle w:val="linhanumerada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bookmarkStart w:id="5" w:name="art23§1v"/>
      <w:bookmarkEnd w:id="5"/>
      <w:r>
        <w:rPr>
          <w:rFonts w:ascii="Calibri" w:hAnsi="Calibri"/>
          <w:color w:val="000000"/>
        </w:rPr>
        <w:t xml:space="preserve">V - pesquisa na base nacional de notas fiscais eletrônicas, na forma de </w:t>
      </w:r>
      <w:proofErr w:type="gramStart"/>
      <w:r>
        <w:rPr>
          <w:rFonts w:ascii="Calibri" w:hAnsi="Calibri"/>
          <w:color w:val="000000"/>
        </w:rPr>
        <w:t>regulamento.”</w:t>
      </w:r>
      <w:proofErr w:type="gramEnd"/>
    </w:p>
    <w:p w:rsidR="009E4E73" w:rsidRDefault="009E4E73" w:rsidP="009E4E73">
      <w:pPr>
        <w:pStyle w:val="NormalWeb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E4E73" w:rsidRDefault="009E4E73" w:rsidP="009E4E73">
      <w:pPr>
        <w:pStyle w:val="linhanumerada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rFonts w:ascii="Calibri" w:hAnsi="Calibri"/>
          <w:color w:val="000000"/>
        </w:rPr>
        <w:t>Cumpre destacar que o Código de Ética e Disciplina da OAB fora aprovado por meio da Resolução nº 02/2015. Desta forma, a utilização da tabela de honorários mínimos da Ordem dos Advogados do Brasil (OAB) como parâmetro absoluto de exequibilidade está não só em desacordo com a cotação realizada no processo licitatório, mas também com a </w:t>
      </w:r>
      <w:r>
        <w:rPr>
          <w:rFonts w:ascii="Calibri" w:hAnsi="Calibri"/>
          <w:color w:val="000000"/>
          <w:u w:val="single"/>
        </w:rPr>
        <w:t>Lei Federal</w:t>
      </w:r>
      <w:r>
        <w:rPr>
          <w:rFonts w:ascii="Calibri" w:hAnsi="Calibri"/>
          <w:color w:val="000000"/>
        </w:rPr>
        <w:t> e as Instruções Normativas emanadas pela União Federal.</w:t>
      </w:r>
    </w:p>
    <w:p w:rsidR="009E4E73" w:rsidRDefault="009E4E73" w:rsidP="009E4E73">
      <w:pPr>
        <w:pStyle w:val="NormalWeb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E4E73" w:rsidRDefault="009E4E73" w:rsidP="009E4E73">
      <w:pPr>
        <w:pStyle w:val="linhanumerada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rFonts w:ascii="Calibri" w:hAnsi="Calibri"/>
          <w:color w:val="000000"/>
        </w:rPr>
        <w:t>Isso porque, as tabelas dos conselhos seccionais da OAB servem apenas como </w:t>
      </w:r>
      <w:r>
        <w:rPr>
          <w:rFonts w:ascii="Calibri" w:hAnsi="Calibri"/>
          <w:color w:val="000000"/>
          <w:u w:val="single"/>
        </w:rPr>
        <w:t>referência</w:t>
      </w:r>
      <w:r>
        <w:rPr>
          <w:rFonts w:ascii="Calibri" w:hAnsi="Calibri"/>
          <w:color w:val="000000"/>
        </w:rPr>
        <w:t> para a </w:t>
      </w:r>
      <w:r>
        <w:rPr>
          <w:rFonts w:ascii="Calibri" w:hAnsi="Calibri"/>
          <w:color w:val="000000"/>
          <w:u w:val="single"/>
        </w:rPr>
        <w:t>fixação de honorários</w:t>
      </w:r>
      <w:r>
        <w:rPr>
          <w:rFonts w:ascii="Calibri" w:hAnsi="Calibri"/>
          <w:color w:val="000000"/>
        </w:rPr>
        <w:t>, consoante tese pacificada pelo Superior Tribunal de Justiça, a exemplo do julgado abaixo transcrito</w:t>
      </w:r>
      <w:bookmarkStart w:id="6" w:name="_ftnref1"/>
      <w:r>
        <w:rPr>
          <w:rFonts w:ascii="Calibri" w:hAnsi="Calibri"/>
          <w:color w:val="000000"/>
        </w:rPr>
        <w:fldChar w:fldCharType="begin"/>
      </w:r>
      <w:r>
        <w:rPr>
          <w:rFonts w:ascii="Calibri" w:hAnsi="Calibri"/>
          <w:color w:val="000000"/>
        </w:rPr>
        <w:instrText xml:space="preserve"> HYPERLINK "https://sei.cfc.org.br/sei/controlador.php?acao=documento_visualizar&amp;acao_origem=procedimento_visualizar&amp;id_documento=686488&amp;arvore=1&amp;infra_sistema=100000100&amp;infra_unidade_atual=110000509&amp;infra_hash=6234f556a2a8b780cd2e70fca5f9cf8a28a607a5eee93761b42f26a9acae4b32" \l "_ftn1" \o "" \t "_blank" </w:instrText>
      </w:r>
      <w:r>
        <w:rPr>
          <w:rFonts w:ascii="Calibri" w:hAnsi="Calibri"/>
          <w:color w:val="000000"/>
        </w:rPr>
        <w:fldChar w:fldCharType="separate"/>
      </w:r>
      <w:r>
        <w:rPr>
          <w:rStyle w:val="Hyperlink"/>
          <w:rFonts w:ascii="Calibri" w:hAnsi="Calibri"/>
          <w:vertAlign w:val="superscript"/>
        </w:rPr>
        <w:t>[1]</w:t>
      </w:r>
      <w:r>
        <w:rPr>
          <w:rFonts w:ascii="Calibri" w:hAnsi="Calibri"/>
          <w:color w:val="000000"/>
        </w:rPr>
        <w:fldChar w:fldCharType="end"/>
      </w:r>
      <w:bookmarkEnd w:id="6"/>
      <w:r>
        <w:rPr>
          <w:rFonts w:ascii="Calibri" w:hAnsi="Calibri"/>
          <w:color w:val="000000"/>
        </w:rPr>
        <w:t>:</w:t>
      </w:r>
    </w:p>
    <w:p w:rsidR="009E4E73" w:rsidRDefault="009E4E73" w:rsidP="009E4E73">
      <w:pPr>
        <w:pStyle w:val="NormalWeb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E4E73" w:rsidRDefault="009E4E73" w:rsidP="009E4E73">
      <w:pPr>
        <w:pStyle w:val="linhanumerada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rFonts w:ascii="Calibri" w:hAnsi="Calibri"/>
          <w:color w:val="000000"/>
        </w:rPr>
        <w:t>“AGRAVO INTERNO NO AGRAVO EM RECURSO ESPECIAL. AÇÃO DE COBRANÇA. HONORÁRIOS ADVOCATÍCIOS CONTRATUAIS. TABELA DE HONORÁRIOS DA SECCIONAL DA OAB. NATUREZA INFORMATIVA. NÃO VINCULANTE. HONORÁRIOS FIXADOS OBSERVANDO OS PARÂMETROS LEGAIS E EM VALOR RAZOÁVEL. ALTERAÇÃO. INVIABILIDADE. AGRAVO NÃO PROVIDO. 1. </w:t>
      </w:r>
      <w:r>
        <w:rPr>
          <w:rFonts w:ascii="Calibri" w:hAnsi="Calibri"/>
          <w:b/>
          <w:bCs/>
          <w:color w:val="000000"/>
          <w:u w:val="single"/>
        </w:rPr>
        <w:t>Esta Corte Superior manifesta-se no sentido de que "a tabela organizada pelo Conselho Seccional da OAB tem natureza meramente orientadora e não vincula o julgador, devendo ser levada em consideração a realidade do caso concreto</w:t>
      </w:r>
      <w:r>
        <w:rPr>
          <w:rFonts w:ascii="Calibri" w:hAnsi="Calibri"/>
          <w:color w:val="000000"/>
        </w:rPr>
        <w:t xml:space="preserve">" </w:t>
      </w:r>
      <w:proofErr w:type="gramStart"/>
      <w:r>
        <w:rPr>
          <w:rFonts w:ascii="Calibri" w:hAnsi="Calibri"/>
          <w:color w:val="000000"/>
        </w:rPr>
        <w:t xml:space="preserve">( </w:t>
      </w:r>
      <w:proofErr w:type="spellStart"/>
      <w:r>
        <w:rPr>
          <w:rFonts w:ascii="Calibri" w:hAnsi="Calibri"/>
          <w:color w:val="000000"/>
        </w:rPr>
        <w:t>AgInt</w:t>
      </w:r>
      <w:proofErr w:type="spellEnd"/>
      <w:proofErr w:type="gramEnd"/>
      <w:r>
        <w:rPr>
          <w:rFonts w:ascii="Calibri" w:hAnsi="Calibri"/>
          <w:color w:val="000000"/>
        </w:rPr>
        <w:t xml:space="preserve"> no </w:t>
      </w:r>
      <w:proofErr w:type="spellStart"/>
      <w:r>
        <w:rPr>
          <w:rFonts w:ascii="Calibri" w:hAnsi="Calibri"/>
          <w:color w:val="000000"/>
        </w:rPr>
        <w:t>REsp</w:t>
      </w:r>
      <w:proofErr w:type="spellEnd"/>
      <w:r>
        <w:rPr>
          <w:rFonts w:ascii="Calibri" w:hAnsi="Calibri"/>
          <w:color w:val="000000"/>
        </w:rPr>
        <w:t xml:space="preserve"> 1.751.304/SC, Rel. Ministro LUIS FELIPE SALOMÃO, QUARTA TURMA, julgado em 24/9/2019, </w:t>
      </w:r>
      <w:proofErr w:type="spellStart"/>
      <w:r>
        <w:rPr>
          <w:rFonts w:ascii="Calibri" w:hAnsi="Calibri"/>
          <w:color w:val="000000"/>
        </w:rPr>
        <w:t>DJe</w:t>
      </w:r>
      <w:proofErr w:type="spellEnd"/>
      <w:r>
        <w:rPr>
          <w:rFonts w:ascii="Calibri" w:hAnsi="Calibri"/>
          <w:color w:val="000000"/>
        </w:rPr>
        <w:t xml:space="preserve"> de 30/9/2019). 2. Ademais, somente é admissível o exame do valor arbitrado a título de honorários advocatícios contratuais, nesta instância especial, quando for verificada a exorbitância ou a natureza irrisória da importância arbitrada, o que não se verifica no caso em exame. 3. Agravo interno </w:t>
      </w:r>
      <w:proofErr w:type="gramStart"/>
      <w:r>
        <w:rPr>
          <w:rFonts w:ascii="Calibri" w:hAnsi="Calibri"/>
          <w:color w:val="000000"/>
        </w:rPr>
        <w:t>desprovido.”</w:t>
      </w:r>
      <w:proofErr w:type="gramEnd"/>
    </w:p>
    <w:p w:rsidR="009E4E73" w:rsidRDefault="009E4E73" w:rsidP="009E4E73">
      <w:pPr>
        <w:pStyle w:val="linhanumerada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rFonts w:ascii="Calibri" w:hAnsi="Calibri"/>
          <w:color w:val="000000"/>
        </w:rPr>
        <w:t>Cumpre ressaltar que o colegiado do STJ fixou a seguinte tese a respeito da controvérsia, cadastrada como Tema 984: As tabelas de honorários elaboradas unilateralmente pelos Conselhos Seccionais da OAB não vinculam o magistrado no momento de arbitrar o valor da remuneração a que faz jus o defensor dativo que atua no processo penal; </w:t>
      </w:r>
      <w:r>
        <w:rPr>
          <w:rFonts w:ascii="Calibri" w:hAnsi="Calibri"/>
          <w:color w:val="000000"/>
          <w:u w:val="single"/>
        </w:rPr>
        <w:t>servem como referência</w:t>
      </w:r>
      <w:r>
        <w:rPr>
          <w:rFonts w:ascii="Calibri" w:hAnsi="Calibri"/>
          <w:color w:val="000000"/>
        </w:rPr>
        <w:t> para o estabelecimento de valor que seja justo e que reflita o labor despendido pelo advogado.</w:t>
      </w:r>
    </w:p>
    <w:p w:rsidR="009E4E73" w:rsidRDefault="009E4E73" w:rsidP="009E4E73">
      <w:pPr>
        <w:pStyle w:val="NormalWeb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E4E73" w:rsidRDefault="009E4E73" w:rsidP="009E4E73">
      <w:pPr>
        <w:pStyle w:val="linhanumerada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rFonts w:ascii="Calibri" w:hAnsi="Calibri"/>
          <w:color w:val="000000"/>
        </w:rPr>
        <w:t>Desta forma, temos que uma tabela referencial, estabelecida unilateralmente pelo Conselho Seccional da OAB de cada Estado, por meio de </w:t>
      </w:r>
      <w:r>
        <w:rPr>
          <w:rFonts w:ascii="Calibri" w:hAnsi="Calibri"/>
          <w:color w:val="000000"/>
          <w:u w:val="single"/>
        </w:rPr>
        <w:t>Resolução</w:t>
      </w:r>
      <w:r>
        <w:rPr>
          <w:rFonts w:ascii="Calibri" w:hAnsi="Calibri"/>
          <w:color w:val="000000"/>
        </w:rPr>
        <w:t>, </w:t>
      </w:r>
      <w:r>
        <w:rPr>
          <w:rFonts w:ascii="Calibri" w:hAnsi="Calibri"/>
          <w:color w:val="000000"/>
          <w:u w:val="single"/>
        </w:rPr>
        <w:t>não</w:t>
      </w:r>
      <w:r>
        <w:rPr>
          <w:rFonts w:ascii="Calibri" w:hAnsi="Calibri"/>
          <w:color w:val="000000"/>
        </w:rPr>
        <w:t> pode definir, por si só, tampouco onerar a contratação pretendida pela administração pública, uma vez que o regime de contratações públicas é regido por </w:t>
      </w:r>
      <w:r>
        <w:rPr>
          <w:rFonts w:ascii="Calibri" w:hAnsi="Calibri"/>
          <w:color w:val="000000"/>
          <w:u w:val="single"/>
        </w:rPr>
        <w:t>leis e princípios</w:t>
      </w:r>
      <w:r>
        <w:rPr>
          <w:rFonts w:ascii="Calibri" w:hAnsi="Calibri"/>
          <w:color w:val="000000"/>
        </w:rPr>
        <w:t> próprios e bem definidos.</w:t>
      </w:r>
    </w:p>
    <w:p w:rsidR="009E4E73" w:rsidRDefault="009E4E73" w:rsidP="009E4E73">
      <w:pPr>
        <w:pStyle w:val="NormalWeb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E4E73" w:rsidRDefault="009E4E73" w:rsidP="009E4E73">
      <w:pPr>
        <w:pStyle w:val="linhanumerada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rFonts w:ascii="Calibri" w:hAnsi="Calibri"/>
          <w:color w:val="000000"/>
        </w:rPr>
        <w:lastRenderedPageBreak/>
        <w:t>Por todo o exposto, uma vez que não há nenhum vício no certame realizado, recomendamos seja a manifestação do Pregoeiro acolhida em parte, quanto aos argumentos não mencionados no presente despacho, sendo exceto no tocante à utilização do Código de Ética e da tabela de Honorários da OAB como critério de cotação de preços, não havendo, portanto, procedência nos recursos apresentados, motivo pelo qual é recomendável o prosseguimento da contratação.</w:t>
      </w:r>
    </w:p>
    <w:p w:rsidR="00B26A88" w:rsidRDefault="00B26A88">
      <w:bookmarkStart w:id="7" w:name="_GoBack"/>
      <w:bookmarkEnd w:id="7"/>
    </w:p>
    <w:sectPr w:rsidR="00B26A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73"/>
    <w:rsid w:val="009E4E73"/>
    <w:rsid w:val="00B26A88"/>
    <w:rsid w:val="00D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5089E-707F-4DEF-9F56-F42008E6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9E4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nhanumerada">
    <w:name w:val="linhanumerada"/>
    <w:basedOn w:val="Normal"/>
    <w:rsid w:val="009E4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E4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4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Luiz Garcia C Valente</dc:creator>
  <cp:keywords/>
  <dc:description/>
  <cp:lastModifiedBy>Jorge Luiz Garcia C Valente</cp:lastModifiedBy>
  <cp:revision>1</cp:revision>
  <dcterms:created xsi:type="dcterms:W3CDTF">2025-02-04T15:58:00Z</dcterms:created>
  <dcterms:modified xsi:type="dcterms:W3CDTF">2025-02-04T15:59:00Z</dcterms:modified>
</cp:coreProperties>
</file>